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8BA8" w14:textId="77777777" w:rsidR="003A7F9E" w:rsidRDefault="00000000">
      <w:pPr>
        <w:pStyle w:val="Standard"/>
        <w:widowControl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附件二</w:t>
      </w:r>
    </w:p>
    <w:p w14:paraId="2B036906" w14:textId="77777777" w:rsidR="003A7F9E" w:rsidRDefault="00000000">
      <w:pPr>
        <w:pStyle w:val="Standard"/>
        <w:widowControl/>
        <w:spacing w:before="120"/>
        <w:jc w:val="center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農村區域亮點計畫補助作業</w:t>
      </w:r>
    </w:p>
    <w:p w14:paraId="3CE0DF79" w14:textId="77777777" w:rsidR="003A7F9E" w:rsidRDefault="00000000">
      <w:pPr>
        <w:pStyle w:val="Standard"/>
        <w:widowControl/>
        <w:spacing w:before="120"/>
        <w:jc w:val="center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提案計畫書</w:t>
      </w:r>
    </w:p>
    <w:p w14:paraId="19EA0C10" w14:textId="77777777" w:rsidR="003A7F9E" w:rsidRDefault="00000000">
      <w:pPr>
        <w:pStyle w:val="Standard"/>
        <w:widowControl/>
        <w:spacing w:before="120" w:line="360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一、提案資格檢討</w:t>
      </w:r>
    </w:p>
    <w:p w14:paraId="42DD72E4" w14:textId="77777777" w:rsidR="003A7F9E" w:rsidRDefault="00000000">
      <w:pPr>
        <w:pStyle w:val="a5"/>
        <w:widowControl/>
        <w:numPr>
          <w:ilvl w:val="0"/>
          <w:numId w:val="3"/>
        </w:numPr>
        <w:spacing w:before="120" w:line="360" w:lineRule="auto"/>
        <w:ind w:left="975" w:hanging="737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提案資格：(非農村再生社區之在地組織及團體，請提供結合計畫相關之農村再生社區共同合作推動相關文件)</w:t>
      </w:r>
    </w:p>
    <w:p w14:paraId="448D6DB1" w14:textId="77777777" w:rsidR="003A7F9E" w:rsidRDefault="00000000">
      <w:pPr>
        <w:pStyle w:val="a5"/>
        <w:widowControl/>
        <w:numPr>
          <w:ilvl w:val="0"/>
          <w:numId w:val="1"/>
        </w:numPr>
        <w:spacing w:before="120" w:line="360" w:lineRule="auto"/>
        <w:ind w:left="975" w:hanging="737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符合農村</w:t>
      </w:r>
      <w:proofErr w:type="gramStart"/>
      <w:r>
        <w:rPr>
          <w:rFonts w:ascii="華康標楷體" w:eastAsia="華康標楷體" w:hAnsi="華康標楷體" w:cs="華康標楷體"/>
          <w:sz w:val="32"/>
        </w:rPr>
        <w:t>水保署及</w:t>
      </w:r>
      <w:proofErr w:type="gramEnd"/>
      <w:r>
        <w:rPr>
          <w:rFonts w:ascii="華康標楷體" w:eastAsia="華康標楷體" w:hAnsi="華康標楷體" w:cs="華康標楷體"/>
          <w:sz w:val="32"/>
        </w:rPr>
        <w:t>所屬分署選定之計畫主軸及發展區域</w:t>
      </w:r>
    </w:p>
    <w:p w14:paraId="00B6097A" w14:textId="77777777" w:rsidR="003A7F9E" w:rsidRDefault="00000000">
      <w:pPr>
        <w:pStyle w:val="a5"/>
        <w:widowControl/>
        <w:numPr>
          <w:ilvl w:val="0"/>
          <w:numId w:val="4"/>
        </w:numPr>
        <w:spacing w:before="120" w:line="360" w:lineRule="auto"/>
        <w:ind w:left="1276" w:hanging="425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所屬「農村區域亮點計畫」：</w:t>
      </w:r>
    </w:p>
    <w:p w14:paraId="62964F8E" w14:textId="77777777" w:rsidR="003A7F9E" w:rsidRDefault="00000000">
      <w:pPr>
        <w:pStyle w:val="a5"/>
        <w:widowControl/>
        <w:numPr>
          <w:ilvl w:val="0"/>
          <w:numId w:val="2"/>
        </w:numPr>
        <w:spacing w:before="120" w:line="360" w:lineRule="auto"/>
        <w:ind w:left="1276" w:hanging="425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計畫主軸符合公告類別：</w:t>
      </w:r>
    </w:p>
    <w:p w14:paraId="3B76EA4E" w14:textId="77777777" w:rsidR="003A7F9E" w:rsidRDefault="00000000">
      <w:pPr>
        <w:pStyle w:val="a5"/>
        <w:widowControl/>
        <w:numPr>
          <w:ilvl w:val="0"/>
          <w:numId w:val="2"/>
        </w:numPr>
        <w:spacing w:before="120" w:line="360" w:lineRule="auto"/>
        <w:ind w:left="1276" w:hanging="425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受益區域符合公告範圍：</w:t>
      </w:r>
    </w:p>
    <w:p w14:paraId="5C0790F8" w14:textId="77777777" w:rsidR="003A7F9E" w:rsidRDefault="00000000">
      <w:pPr>
        <w:pStyle w:val="Standard"/>
        <w:widowControl/>
        <w:spacing w:before="120" w:line="276" w:lineRule="auto"/>
      </w:pPr>
      <w:r>
        <w:rPr>
          <w:rFonts w:ascii="華康標楷體" w:eastAsia="華康標楷體" w:hAnsi="華康標楷體" w:cs="華康標楷體"/>
          <w:sz w:val="32"/>
        </w:rPr>
        <w:t>二、計畫名稱</w:t>
      </w:r>
      <w:r>
        <w:rPr>
          <w:rFonts w:ascii="華康標楷體" w:eastAsia="華康標楷體" w:hAnsi="華康標楷體" w:cs="華康標楷體"/>
          <w:color w:val="FF0000"/>
          <w:sz w:val="32"/>
          <w:u w:val="single"/>
        </w:rPr>
        <w:t>及補助類型</w:t>
      </w:r>
    </w:p>
    <w:p w14:paraId="295163BF" w14:textId="77777777" w:rsidR="003A7F9E" w:rsidRDefault="00000000">
      <w:pPr>
        <w:pStyle w:val="Textbody"/>
        <w:spacing w:after="120" w:line="500" w:lineRule="exact"/>
        <w:ind w:firstLine="709"/>
      </w:pPr>
      <w:r>
        <w:rPr>
          <w:rFonts w:ascii="華康標楷體" w:eastAsia="華康標楷體" w:hAnsi="華康標楷體" w:cs="華康標楷體"/>
          <w:color w:val="FF0000"/>
          <w:sz w:val="32"/>
          <w:u w:val="single"/>
        </w:rPr>
        <w:t>計畫名稱</w:t>
      </w:r>
      <w:r>
        <w:rPr>
          <w:rFonts w:ascii="細明體" w:eastAsia="細明體" w:hAnsi="細明體" w:cs="華康標楷體"/>
          <w:color w:val="FF0000"/>
          <w:sz w:val="32"/>
          <w:u w:val="single"/>
        </w:rPr>
        <w:t>：</w:t>
      </w:r>
    </w:p>
    <w:p w14:paraId="326C4E36" w14:textId="77777777" w:rsidR="003A7F9E" w:rsidRDefault="00000000">
      <w:pPr>
        <w:pStyle w:val="Textbody"/>
        <w:spacing w:after="120" w:line="500" w:lineRule="exact"/>
        <w:ind w:firstLine="709"/>
        <w:rPr>
          <w:rFonts w:ascii="標楷體" w:eastAsia="標楷體" w:hAnsi="標楷體" w:cs="標楷體"/>
          <w:color w:val="FF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FF0000"/>
          <w:sz w:val="32"/>
          <w:szCs w:val="32"/>
          <w:u w:val="single"/>
        </w:rPr>
        <w:t>□規劃設計類           □行銷推廣類</w:t>
      </w:r>
    </w:p>
    <w:p w14:paraId="00012D76" w14:textId="77777777" w:rsidR="003A7F9E" w:rsidRDefault="00000000">
      <w:pPr>
        <w:pStyle w:val="Textbody"/>
        <w:spacing w:after="120" w:line="500" w:lineRule="exact"/>
        <w:ind w:firstLine="709"/>
      </w:pPr>
      <w:r>
        <w:rPr>
          <w:rFonts w:ascii="標楷體" w:eastAsia="標楷體" w:hAnsi="標楷體" w:cs="標楷體"/>
          <w:color w:val="FF0000"/>
          <w:sz w:val="32"/>
          <w:szCs w:val="32"/>
          <w:u w:val="single"/>
        </w:rPr>
        <w:t>□環境條件改善類       □生態保育類</w:t>
      </w:r>
    </w:p>
    <w:p w14:paraId="4839B20D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三、計畫執行單位、執行人及計畫主辦人</w:t>
      </w:r>
    </w:p>
    <w:p w14:paraId="687080AD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四、執行期限</w:t>
      </w:r>
    </w:p>
    <w:p w14:paraId="3F056063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五、計畫內容</w:t>
      </w:r>
    </w:p>
    <w:p w14:paraId="4C4F9340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（一）已完成之重要計畫成果摘要：</w:t>
      </w:r>
    </w:p>
    <w:p w14:paraId="23D0DD90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（二）擬解決問題：</w:t>
      </w:r>
    </w:p>
    <w:p w14:paraId="1ED09297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（三）計畫目標：</w:t>
      </w:r>
    </w:p>
    <w:p w14:paraId="429463F3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（四）實施方法與步驟：</w:t>
      </w:r>
    </w:p>
    <w:p w14:paraId="51CB4ADA" w14:textId="77777777" w:rsidR="003A7F9E" w:rsidRDefault="00000000">
      <w:pPr>
        <w:pStyle w:val="Standard"/>
        <w:widowControl/>
        <w:spacing w:before="120" w:line="276" w:lineRule="auto"/>
        <w:ind w:firstLine="707"/>
        <w:rPr>
          <w:rFonts w:ascii="華康標楷體" w:eastAsia="華康標楷體" w:hAnsi="華康標楷體" w:cs="華康標楷體"/>
          <w:sz w:val="32"/>
        </w:rPr>
      </w:pPr>
      <w:proofErr w:type="gramStart"/>
      <w:r>
        <w:rPr>
          <w:rFonts w:ascii="華康標楷體" w:eastAsia="華康標楷體" w:hAnsi="華康標楷體" w:cs="華康標楷體"/>
          <w:sz w:val="32"/>
        </w:rPr>
        <w:lastRenderedPageBreak/>
        <w:t>（</w:t>
      </w:r>
      <w:proofErr w:type="gramEnd"/>
      <w:r>
        <w:rPr>
          <w:rFonts w:ascii="華康標楷體" w:eastAsia="華康標楷體" w:hAnsi="華康標楷體" w:cs="華康標楷體"/>
          <w:sz w:val="32"/>
        </w:rPr>
        <w:t>※環境條件改善類應補充：實施地點及面積</w:t>
      </w:r>
      <w:proofErr w:type="gramStart"/>
      <w:r>
        <w:rPr>
          <w:rFonts w:ascii="華康標楷體" w:eastAsia="華康標楷體" w:hAnsi="華康標楷體" w:cs="華康標楷體"/>
          <w:sz w:val="32"/>
        </w:rPr>
        <w:t>）</w:t>
      </w:r>
      <w:proofErr w:type="gramEnd"/>
    </w:p>
    <w:p w14:paraId="7F036469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（五）重要工作項目：</w:t>
      </w:r>
    </w:p>
    <w:p w14:paraId="402FFA78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（六）預定進度：</w:t>
      </w:r>
    </w:p>
    <w:p w14:paraId="0BA89DD8" w14:textId="77777777" w:rsidR="003A7F9E" w:rsidRDefault="00000000">
      <w:pPr>
        <w:pStyle w:val="Standard"/>
        <w:widowControl/>
        <w:spacing w:before="120" w:line="276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（七）預期效益：</w:t>
      </w:r>
    </w:p>
    <w:p w14:paraId="5EBC2F8C" w14:textId="77777777" w:rsidR="003A7F9E" w:rsidRDefault="00000000">
      <w:pPr>
        <w:pStyle w:val="Standard"/>
        <w:widowControl/>
        <w:spacing w:before="120" w:line="360" w:lineRule="auto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六、計畫經費</w:t>
      </w:r>
    </w:p>
    <w:p w14:paraId="74790405" w14:textId="77777777" w:rsidR="003A7F9E" w:rsidRDefault="00000000">
      <w:pPr>
        <w:pStyle w:val="Standard"/>
        <w:widowControl/>
        <w:spacing w:before="120" w:line="360" w:lineRule="auto"/>
        <w:ind w:left="710" w:hanging="2"/>
      </w:pPr>
      <w:r>
        <w:rPr>
          <w:rFonts w:ascii="華康標楷體" w:eastAsia="華康標楷體" w:hAnsi="華康標楷體" w:cs="華康標楷體"/>
          <w:sz w:val="32"/>
        </w:rPr>
        <w:t>計畫經費: 合計</w:t>
      </w:r>
      <w:r>
        <w:rPr>
          <w:rFonts w:ascii="華康標楷體" w:eastAsia="華康標楷體" w:hAnsi="華康標楷體" w:cs="華康標楷體"/>
          <w:sz w:val="32"/>
          <w:u w:val="single"/>
        </w:rPr>
        <w:t xml:space="preserve">      </w:t>
      </w:r>
      <w:r>
        <w:rPr>
          <w:rFonts w:ascii="華康標楷體" w:eastAsia="華康標楷體" w:hAnsi="華康標楷體" w:cs="華康標楷體"/>
          <w:sz w:val="32"/>
        </w:rPr>
        <w:t>千元，申請補助</w:t>
      </w:r>
      <w:r>
        <w:rPr>
          <w:rFonts w:ascii="華康標楷體" w:eastAsia="華康標楷體" w:hAnsi="華康標楷體" w:cs="華康標楷體"/>
          <w:sz w:val="32"/>
          <w:u w:val="single"/>
        </w:rPr>
        <w:t xml:space="preserve">      </w:t>
      </w:r>
      <w:r>
        <w:rPr>
          <w:rFonts w:ascii="華康標楷體" w:eastAsia="華康標楷體" w:hAnsi="華康標楷體" w:cs="華康標楷體"/>
          <w:sz w:val="32"/>
        </w:rPr>
        <w:t>千元，自籌款</w:t>
      </w:r>
      <w:r>
        <w:rPr>
          <w:rFonts w:ascii="華康標楷體" w:eastAsia="華康標楷體" w:hAnsi="華康標楷體" w:cs="華康標楷體"/>
          <w:sz w:val="32"/>
          <w:u w:val="single"/>
        </w:rPr>
        <w:t xml:space="preserve">          </w:t>
      </w:r>
      <w:r>
        <w:rPr>
          <w:rFonts w:ascii="華康標楷體" w:eastAsia="華康標楷體" w:hAnsi="華康標楷體" w:cs="華康標楷體"/>
          <w:sz w:val="32"/>
        </w:rPr>
        <w:t>千元，其他單位補助</w:t>
      </w:r>
      <w:r>
        <w:rPr>
          <w:rFonts w:ascii="華康標楷體" w:eastAsia="華康標楷體" w:hAnsi="華康標楷體" w:cs="華康標楷體"/>
          <w:sz w:val="32"/>
          <w:u w:val="single"/>
        </w:rPr>
        <w:t xml:space="preserve">           </w:t>
      </w:r>
      <w:r>
        <w:rPr>
          <w:rFonts w:ascii="華康標楷體" w:eastAsia="華康標楷體" w:hAnsi="華康標楷體" w:cs="華康標楷體"/>
          <w:sz w:val="32"/>
        </w:rPr>
        <w:t>千元。</w:t>
      </w:r>
    </w:p>
    <w:p w14:paraId="619C1ED0" w14:textId="77777777" w:rsidR="003A7F9E" w:rsidRDefault="003A7F9E">
      <w:pPr>
        <w:pStyle w:val="Standard"/>
        <w:widowControl/>
        <w:rPr>
          <w:rFonts w:ascii="華康標楷體" w:eastAsia="華康標楷體" w:hAnsi="華康標楷體" w:cs="華康標楷體"/>
          <w:sz w:val="3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2972"/>
        <w:gridCol w:w="3602"/>
      </w:tblGrid>
      <w:tr w:rsidR="003A7F9E" w14:paraId="511AB45A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FA17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預算科目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06BE" w14:textId="77777777" w:rsidR="003A7F9E" w:rsidRDefault="00000000">
            <w:pPr>
              <w:pStyle w:val="Standard"/>
              <w:spacing w:line="240" w:lineRule="exact"/>
              <w:ind w:left="560" w:hanging="560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經費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E51" w14:textId="77777777" w:rsidR="003A7F9E" w:rsidRDefault="00000000">
            <w:pPr>
              <w:pStyle w:val="Standard"/>
              <w:spacing w:line="240" w:lineRule="exact"/>
              <w:ind w:left="560" w:hanging="560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說明</w:t>
            </w:r>
          </w:p>
        </w:tc>
      </w:tr>
      <w:tr w:rsidR="003A7F9E" w14:paraId="4F42A893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31D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租金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C107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D393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  <w:p w14:paraId="5F36AAC8" w14:textId="77777777" w:rsidR="003A7F9E" w:rsidRDefault="00000000">
            <w:pPr>
              <w:pStyle w:val="Standard"/>
              <w:tabs>
                <w:tab w:val="left" w:pos="3793"/>
              </w:tabs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ab/>
            </w:r>
          </w:p>
        </w:tc>
      </w:tr>
      <w:tr w:rsidR="003A7F9E" w14:paraId="1B6CBD82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FB26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按日按件</w:t>
            </w:r>
          </w:p>
          <w:p w14:paraId="7034C249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proofErr w:type="gramStart"/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計資酬金</w:t>
            </w:r>
            <w:proofErr w:type="gram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506C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1A46" w14:textId="77777777" w:rsidR="003A7F9E" w:rsidRDefault="003A7F9E">
            <w:pPr>
              <w:pStyle w:val="Standard"/>
              <w:snapToGrid w:val="0"/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</w:tr>
      <w:tr w:rsidR="003A7F9E" w14:paraId="7B9B4E18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E20B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宣導廣告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9438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E21C" w14:textId="77777777" w:rsidR="003A7F9E" w:rsidRDefault="003A7F9E">
            <w:pPr>
              <w:pStyle w:val="Standard"/>
              <w:snapToGrid w:val="0"/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</w:tr>
      <w:tr w:rsidR="003A7F9E" w14:paraId="33362BAB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DBA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物品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A78D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A1CB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  <w:p w14:paraId="4F2AACDB" w14:textId="77777777" w:rsidR="003A7F9E" w:rsidRDefault="003A7F9E">
            <w:pPr>
              <w:pStyle w:val="Standard"/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</w:tr>
      <w:tr w:rsidR="003A7F9E" w14:paraId="62F47714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1E5B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雜支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5DB9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8C27" w14:textId="77777777" w:rsidR="003A7F9E" w:rsidRDefault="003A7F9E">
            <w:pPr>
              <w:pStyle w:val="Standard"/>
              <w:snapToGrid w:val="0"/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</w:tr>
      <w:tr w:rsidR="003A7F9E" w14:paraId="0F2CEB7D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1BF9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養護費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F3E7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B399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  <w:p w14:paraId="541D9D6B" w14:textId="77777777" w:rsidR="003A7F9E" w:rsidRDefault="003A7F9E">
            <w:pPr>
              <w:pStyle w:val="Standard"/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</w:tr>
      <w:tr w:rsidR="003A7F9E" w14:paraId="798D0BC6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D72D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國內旅費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BF1B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158B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  <w:p w14:paraId="64B4722D" w14:textId="77777777" w:rsidR="003A7F9E" w:rsidRDefault="00000000">
            <w:pPr>
              <w:pStyle w:val="Standard"/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ab/>
            </w:r>
          </w:p>
        </w:tc>
      </w:tr>
      <w:tr w:rsidR="003A7F9E" w14:paraId="234CEAE6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AC8F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運費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A6B8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A03C" w14:textId="77777777" w:rsidR="003A7F9E" w:rsidRDefault="003A7F9E">
            <w:pPr>
              <w:pStyle w:val="Standard"/>
              <w:snapToGrid w:val="0"/>
              <w:spacing w:line="200" w:lineRule="exac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</w:tr>
      <w:tr w:rsidR="003A7F9E" w14:paraId="315A7CD0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4FDF" w14:textId="77777777" w:rsidR="003A7F9E" w:rsidRDefault="00000000">
            <w:pPr>
              <w:pStyle w:val="Standard"/>
              <w:spacing w:line="320" w:lineRule="exact"/>
              <w:ind w:left="561" w:hanging="561"/>
              <w:jc w:val="center"/>
              <w:rPr>
                <w:rFonts w:ascii="華康標楷體" w:eastAsia="華康標楷體" w:hAnsi="華康標楷體" w:cs="標楷體"/>
                <w:sz w:val="32"/>
                <w:szCs w:val="32"/>
              </w:rPr>
            </w:pPr>
            <w:r>
              <w:rPr>
                <w:rFonts w:ascii="華康標楷體" w:eastAsia="華康標楷體" w:hAnsi="華康標楷體" w:cs="標楷體"/>
                <w:sz w:val="32"/>
                <w:szCs w:val="32"/>
              </w:rPr>
              <w:t>合計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0172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  <w:p w14:paraId="36D12750" w14:textId="77777777" w:rsidR="003A7F9E" w:rsidRDefault="003A7F9E">
            <w:pPr>
              <w:pStyle w:val="Standard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0B0C" w14:textId="77777777" w:rsidR="003A7F9E" w:rsidRDefault="003A7F9E">
            <w:pPr>
              <w:pStyle w:val="Standard"/>
              <w:snapToGrid w:val="0"/>
              <w:spacing w:line="200" w:lineRule="exact"/>
              <w:jc w:val="right"/>
              <w:rPr>
                <w:rFonts w:ascii="華康標楷體" w:eastAsia="華康標楷體" w:hAnsi="華康標楷體" w:cs="標楷體"/>
                <w:sz w:val="32"/>
                <w:szCs w:val="32"/>
              </w:rPr>
            </w:pPr>
          </w:p>
        </w:tc>
      </w:tr>
    </w:tbl>
    <w:p w14:paraId="77730CE7" w14:textId="77777777" w:rsidR="003A7F9E" w:rsidRDefault="00000000">
      <w:pPr>
        <w:pStyle w:val="Standard"/>
        <w:widowControl/>
        <w:spacing w:before="120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七、相關附件：</w:t>
      </w:r>
    </w:p>
    <w:p w14:paraId="13C2F5DA" w14:textId="77777777" w:rsidR="003A7F9E" w:rsidRDefault="00000000">
      <w:pPr>
        <w:pStyle w:val="Standard"/>
        <w:widowControl/>
        <w:spacing w:before="120" w:line="276" w:lineRule="auto"/>
        <w:ind w:left="1666" w:hanging="960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附件：過去</w:t>
      </w:r>
      <w:proofErr w:type="gramStart"/>
      <w:r>
        <w:rPr>
          <w:rFonts w:ascii="華康標楷體" w:eastAsia="華康標楷體" w:hAnsi="華康標楷體" w:cs="華康標楷體"/>
          <w:sz w:val="32"/>
        </w:rPr>
        <w:t>三</w:t>
      </w:r>
      <w:proofErr w:type="gramEnd"/>
      <w:r>
        <w:rPr>
          <w:rFonts w:ascii="華康標楷體" w:eastAsia="華康標楷體" w:hAnsi="華康標楷體" w:cs="華康標楷體"/>
          <w:sz w:val="32"/>
        </w:rPr>
        <w:t>年內辦理農村再生相關計畫之執行成果及維護管理現況(無則免)。</w:t>
      </w:r>
    </w:p>
    <w:p w14:paraId="395E7075" w14:textId="77777777" w:rsidR="003A7F9E" w:rsidRDefault="00000000">
      <w:pPr>
        <w:pStyle w:val="Standard"/>
        <w:widowControl/>
        <w:spacing w:before="120" w:line="276" w:lineRule="auto"/>
        <w:ind w:left="1666" w:hanging="960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附件：計畫類型為環境條件改善類時，應另檢附文件如下：</w:t>
      </w:r>
    </w:p>
    <w:p w14:paraId="770CFE2F" w14:textId="77777777" w:rsidR="003A7F9E" w:rsidRDefault="00000000">
      <w:pPr>
        <w:pStyle w:val="Standard"/>
        <w:widowControl/>
        <w:spacing w:before="120" w:line="276" w:lineRule="auto"/>
        <w:ind w:left="1899" w:hanging="340"/>
        <w:jc w:val="both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lastRenderedPageBreak/>
        <w:t>1.計畫實施地點之土地證明文件(土地登記謄本及地籍圖謄本)。</w:t>
      </w:r>
    </w:p>
    <w:p w14:paraId="48804E6E" w14:textId="77777777" w:rsidR="003A7F9E" w:rsidRDefault="00000000">
      <w:pPr>
        <w:pStyle w:val="Standard"/>
        <w:widowControl/>
        <w:spacing w:before="120" w:line="276" w:lineRule="auto"/>
        <w:ind w:left="1899" w:hanging="340"/>
        <w:jc w:val="both"/>
        <w:rPr>
          <w:rFonts w:ascii="華康標楷體" w:eastAsia="華康標楷體" w:hAnsi="華康標楷體" w:cs="華康標楷體"/>
          <w:sz w:val="32"/>
        </w:rPr>
      </w:pPr>
      <w:r>
        <w:rPr>
          <w:rFonts w:ascii="華康標楷體" w:eastAsia="華康標楷體" w:hAnsi="華康標楷體" w:cs="華康標楷體"/>
          <w:sz w:val="32"/>
        </w:rPr>
        <w:t>2.實施地點位置圖、實施地點現場照片、規劃設計圖。</w:t>
      </w:r>
    </w:p>
    <w:p w14:paraId="7D4DA773" w14:textId="77777777" w:rsidR="003A7F9E" w:rsidRDefault="00000000">
      <w:pPr>
        <w:pStyle w:val="Standard"/>
        <w:widowControl/>
        <w:spacing w:before="120" w:line="360" w:lineRule="auto"/>
        <w:ind w:left="1899" w:hanging="340"/>
        <w:jc w:val="both"/>
      </w:pPr>
      <w:r>
        <w:rPr>
          <w:rFonts w:ascii="華康標楷體" w:eastAsia="華康標楷體" w:hAnsi="華康標楷體" w:cs="HiddenHorzOCl"/>
          <w:sz w:val="32"/>
          <w:szCs w:val="32"/>
        </w:rPr>
        <w:t>3. 計畫使用土地屬於私有者，</w:t>
      </w:r>
      <w:r>
        <w:rPr>
          <w:rFonts w:ascii="華康標楷體" w:eastAsia="華康標楷體" w:hAnsi="華康標楷體" w:cs="華康標楷體"/>
          <w:sz w:val="32"/>
        </w:rPr>
        <w:t>應於計畫核定前取得土地使用同意</w:t>
      </w:r>
      <w:r>
        <w:rPr>
          <w:rFonts w:ascii="華康標楷體" w:eastAsia="華康標楷體" w:hAnsi="華康標楷體" w:cs="HiddenHorzOCl"/>
          <w:sz w:val="32"/>
          <w:szCs w:val="32"/>
        </w:rPr>
        <w:t>書(</w:t>
      </w:r>
      <w:r>
        <w:rPr>
          <w:rFonts w:ascii="華康標楷體" w:eastAsia="華康標楷體" w:hAnsi="華康標楷體" w:cs="HiddenHorzOCl"/>
          <w:color w:val="FF0000"/>
          <w:sz w:val="32"/>
          <w:szCs w:val="32"/>
        </w:rPr>
        <w:t>格式同辦理農村再生相關公共設施作業處理原則附件一</w:t>
      </w:r>
      <w:r>
        <w:rPr>
          <w:rFonts w:ascii="華康標楷體" w:eastAsia="華康標楷體" w:hAnsi="華康標楷體" w:cs="HiddenHorzOCl"/>
          <w:sz w:val="32"/>
          <w:szCs w:val="32"/>
        </w:rPr>
        <w:t>)，並簽訂維護管理契約(提案</w:t>
      </w:r>
      <w:r>
        <w:rPr>
          <w:rFonts w:ascii="華康標楷體" w:eastAsia="華康標楷體" w:hAnsi="華康標楷體" w:cs="華康標楷體"/>
          <w:sz w:val="32"/>
        </w:rPr>
        <w:t>計畫</w:t>
      </w:r>
      <w:r>
        <w:rPr>
          <w:rFonts w:ascii="華康標楷體" w:eastAsia="華康標楷體" w:hAnsi="華康標楷體" w:cs="HiddenHorzOCl"/>
          <w:sz w:val="32"/>
          <w:szCs w:val="32"/>
        </w:rPr>
        <w:t>書附件</w:t>
      </w:r>
      <w:r>
        <w:rPr>
          <w:rFonts w:ascii="華康標楷體" w:eastAsia="華康標楷體" w:hAnsi="華康標楷體" w:cs="HiddenHorzOCl"/>
          <w:color w:val="FF0000"/>
          <w:sz w:val="32"/>
          <w:szCs w:val="32"/>
        </w:rPr>
        <w:t>1</w:t>
      </w:r>
      <w:r>
        <w:rPr>
          <w:rFonts w:ascii="華康標楷體" w:eastAsia="華康標楷體" w:hAnsi="華康標楷體" w:cs="HiddenHorzOCl"/>
          <w:sz w:val="32"/>
          <w:szCs w:val="32"/>
        </w:rPr>
        <w:t>)，未涉及建築物增、修建或固定構造物等項目者，得提出施作申請書(提案計畫書附件</w:t>
      </w:r>
      <w:r>
        <w:rPr>
          <w:rFonts w:ascii="華康標楷體" w:eastAsia="華康標楷體" w:hAnsi="華康標楷體" w:cs="HiddenHorzOCl"/>
          <w:color w:val="FF0000"/>
          <w:sz w:val="32"/>
          <w:szCs w:val="32"/>
        </w:rPr>
        <w:t>2</w:t>
      </w:r>
      <w:r>
        <w:rPr>
          <w:rFonts w:ascii="華康標楷體" w:eastAsia="華康標楷體" w:hAnsi="華康標楷體" w:cs="HiddenHorzOCl"/>
          <w:sz w:val="32"/>
          <w:szCs w:val="32"/>
        </w:rPr>
        <w:t>)代替土地使用同意書</w:t>
      </w:r>
      <w:r>
        <w:rPr>
          <w:rFonts w:ascii="華康標楷體" w:eastAsia="華康標楷體" w:hAnsi="華康標楷體" w:cs="華康標楷體"/>
          <w:sz w:val="32"/>
        </w:rPr>
        <w:t>。</w:t>
      </w:r>
    </w:p>
    <w:p w14:paraId="271DF0A6" w14:textId="77777777" w:rsidR="003A7F9E" w:rsidRDefault="00000000">
      <w:pPr>
        <w:pStyle w:val="Standard"/>
        <w:widowControl/>
        <w:spacing w:before="120" w:line="360" w:lineRule="auto"/>
        <w:ind w:left="1899" w:hanging="340"/>
        <w:jc w:val="both"/>
      </w:pPr>
      <w:r>
        <w:rPr>
          <w:rFonts w:ascii="華康標楷體" w:eastAsia="華康標楷體" w:hAnsi="華康標楷體" w:cs="華康標楷體"/>
          <w:sz w:val="32"/>
        </w:rPr>
        <w:t>4.計畫所需使用土地涉及其他機關(單位)之公有或管有土地者，依辦理農村再生相關公共設施作業處理原則等</w:t>
      </w:r>
      <w:r>
        <w:rPr>
          <w:rFonts w:ascii="華康標楷體" w:eastAsia="華康標楷體" w:hAnsi="華康標楷體" w:cs="HiddenHorzOCl"/>
          <w:sz w:val="32"/>
          <w:szCs w:val="32"/>
        </w:rPr>
        <w:t>相關</w:t>
      </w:r>
      <w:r>
        <w:rPr>
          <w:rFonts w:ascii="華康標楷體" w:eastAsia="華康標楷體" w:hAnsi="華康標楷體" w:cs="華康標楷體"/>
          <w:sz w:val="32"/>
        </w:rPr>
        <w:t>規定辦理。</w:t>
      </w:r>
    </w:p>
    <w:sectPr w:rsidR="003A7F9E">
      <w:footerReference w:type="default" r:id="rId7"/>
      <w:endnotePr>
        <w:numFmt w:val="decimal"/>
      </w:endnotePr>
      <w:pgSz w:w="11906" w:h="16838"/>
      <w:pgMar w:top="1440" w:right="1419" w:bottom="1440" w:left="1702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DEFB" w14:textId="77777777" w:rsidR="00A6011C" w:rsidRDefault="00A6011C">
      <w:r>
        <w:separator/>
      </w:r>
    </w:p>
  </w:endnote>
  <w:endnote w:type="continuationSeparator" w:id="0">
    <w:p w14:paraId="5D131893" w14:textId="77777777" w:rsidR="00A6011C" w:rsidRDefault="00A6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文鼎中明">
    <w:charset w:val="00"/>
    <w:family w:val="auto"/>
    <w:pitch w:val="variable"/>
  </w:font>
  <w:font w:name="HiddenHorzOCl">
    <w:charset w:val="00"/>
    <w:family w:val="auto"/>
    <w:pitch w:val="variable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E2BC" w14:textId="77777777" w:rsidR="00000000" w:rsidRDefault="00000000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1F44" w14:textId="77777777" w:rsidR="00A6011C" w:rsidRDefault="00A6011C">
      <w:r>
        <w:separator/>
      </w:r>
    </w:p>
  </w:footnote>
  <w:footnote w:type="continuationSeparator" w:id="0">
    <w:p w14:paraId="231DC174" w14:textId="77777777" w:rsidR="00A6011C" w:rsidRDefault="00A6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14E"/>
    <w:multiLevelType w:val="multilevel"/>
    <w:tmpl w:val="D688BD30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2"/>
      <w:numFmt w:val="japaneseCounting"/>
      <w:lvlText w:val="、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6F501486"/>
    <w:multiLevelType w:val="multilevel"/>
    <w:tmpl w:val="1A2698F2"/>
    <w:styleLink w:val="WWNum1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3"/>
      <w:numFmt w:val="japaneseCounting"/>
      <w:lvlText w:val="、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270666530">
    <w:abstractNumId w:val="1"/>
  </w:num>
  <w:num w:numId="2" w16cid:durableId="744644788">
    <w:abstractNumId w:val="0"/>
  </w:num>
  <w:num w:numId="3" w16cid:durableId="984772462">
    <w:abstractNumId w:val="1"/>
    <w:lvlOverride w:ilvl="0">
      <w:startOverride w:val="1"/>
    </w:lvlOverride>
  </w:num>
  <w:num w:numId="4" w16cid:durableId="18805857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7F9E"/>
    <w:rsid w:val="003A7F9E"/>
    <w:rsid w:val="00A6011C"/>
    <w:rsid w:val="00E80A04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81FF"/>
  <w15:docId w15:val="{CB5B931B-8368-487F-A469-46072F26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a6">
    <w:name w:val="表標"/>
    <w:basedOn w:val="Standard"/>
    <w:pPr>
      <w:spacing w:line="440" w:lineRule="exact"/>
      <w:jc w:val="both"/>
    </w:pPr>
    <w:rPr>
      <w:rFonts w:eastAsia="文鼎中明"/>
      <w:color w:val="auto"/>
      <w:sz w:val="32"/>
      <w:vertAlign w:val="superscript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CM1">
    <w:name w:val="CM1"/>
    <w:basedOn w:val="Standard"/>
    <w:next w:val="Standard"/>
    <w:pPr>
      <w:spacing w:line="466" w:lineRule="atLeast"/>
    </w:pPr>
    <w:rPr>
      <w:rFonts w:ascii="HiddenHorzOCl" w:eastAsia="HiddenHorzOCl" w:hAnsi="HiddenHorzOCl" w:cs="HiddenHorzOCl"/>
      <w:color w:val="auto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0"/>
    <w:rPr>
      <w:sz w:val="20"/>
    </w:rPr>
  </w:style>
  <w:style w:type="character" w:customStyle="1" w:styleId="aa">
    <w:name w:val="頁尾 字元"/>
    <w:basedOn w:val="a0"/>
    <w:rPr>
      <w:sz w:val="20"/>
    </w:rPr>
  </w:style>
  <w:style w:type="character" w:customStyle="1" w:styleId="WW8Num1z0">
    <w:name w:val="WW8Num1z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林羿均</dc:creator>
  <cp:lastModifiedBy>user8</cp:lastModifiedBy>
  <cp:revision>2</cp:revision>
  <cp:lastPrinted>2023-08-18T02:45:00Z</cp:lastPrinted>
  <dcterms:created xsi:type="dcterms:W3CDTF">2025-09-11T08:11:00Z</dcterms:created>
  <dcterms:modified xsi:type="dcterms:W3CDTF">2025-09-11T08:11:00Z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